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C5E14" w14:textId="77777777" w:rsidR="00294067" w:rsidRPr="00E5265C" w:rsidRDefault="00294067" w:rsidP="00294067">
      <w:pPr>
        <w:jc w:val="center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E5265C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安全性信息报告摘要（药物临床试验）</w:t>
      </w:r>
    </w:p>
    <w:tbl>
      <w:tblPr>
        <w:tblpPr w:leftFromText="180" w:rightFromText="180" w:vertAnchor="page" w:horzAnchor="margin" w:tblpY="208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2130"/>
        <w:gridCol w:w="2130"/>
        <w:gridCol w:w="2046"/>
      </w:tblGrid>
      <w:tr w:rsidR="00294067" w:rsidRPr="00E5265C" w14:paraId="6DE4A034" w14:textId="77777777" w:rsidTr="00EC278A">
        <w:trPr>
          <w:trHeight w:val="42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3E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121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94067" w:rsidRPr="00E5265C" w14:paraId="424D06D2" w14:textId="77777777" w:rsidTr="00EC278A">
        <w:trPr>
          <w:trHeight w:val="414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D65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Cs w:val="21"/>
              </w:rPr>
              <w:t>申办者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D5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94067" w:rsidRPr="00E5265C" w14:paraId="12573D22" w14:textId="77777777" w:rsidTr="00EC278A">
        <w:trPr>
          <w:trHeight w:val="406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7EA2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Cs w:val="21"/>
              </w:rPr>
              <w:t>科室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C63E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DF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Cs w:val="21"/>
              </w:rPr>
              <w:t>主要研究者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043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7DFA894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一、报告类别</w:t>
      </w:r>
    </w:p>
    <w:p w14:paraId="0A533406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="MS Mincho" w:hAnsi="MS Mincho" w:cs="MS Mincho" w:hint="eastAsia"/>
          <w:color w:val="000000" w:themeColor="text1"/>
        </w:rPr>
        <w:t>（一）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本中心发生的严重不良事件（SAE）报告（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首次报告，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随访报告，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="宋体" w:eastAsia="宋体" w:hAnsi="宋体" w:cs="宋体" w:hint="eastAsia"/>
          <w:color w:val="000000" w:themeColor="text1"/>
        </w:rPr>
        <w:t>总结报告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4FF8021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="MS Mincho" w:hAnsi="MS Mincho" w:cs="MS Mincho" w:hint="eastAsia"/>
          <w:color w:val="000000" w:themeColor="text1"/>
        </w:rPr>
        <w:t>（二）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本中心发生的可疑</w:t>
      </w:r>
      <w:r w:rsidRPr="00E5265C">
        <w:rPr>
          <w:rFonts w:asciiTheme="minorEastAsia" w:hAnsiTheme="minorEastAsia"/>
          <w:color w:val="000000" w:themeColor="text1"/>
          <w:szCs w:val="21"/>
        </w:rPr>
        <w:t>的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非预期</w:t>
      </w:r>
      <w:r w:rsidRPr="00E5265C">
        <w:rPr>
          <w:rFonts w:asciiTheme="minorEastAsia" w:hAnsiTheme="minorEastAsia"/>
          <w:color w:val="000000" w:themeColor="text1"/>
          <w:szCs w:val="21"/>
        </w:rPr>
        <w:t>严重不良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反应（SUSAR）报告（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首次报告，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随访报告，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="宋体" w:eastAsia="宋体" w:hAnsi="宋体" w:cs="宋体" w:hint="eastAsia"/>
          <w:color w:val="000000" w:themeColor="text1"/>
        </w:rPr>
        <w:t>总结报告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48E3436F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（三）</w:t>
      </w:r>
      <w:r w:rsidRPr="00E5265C">
        <w:rPr>
          <w:rFonts w:asciiTheme="minorEastAsia" w:hAnsiTheme="minorEastAsia"/>
          <w:color w:val="000000" w:themeColor="text1"/>
          <w:szCs w:val="21"/>
        </w:rPr>
        <w:t>非本中心发生的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SUSAR报告（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首次报告，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随访报告，</w:t>
      </w: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="宋体" w:eastAsia="宋体" w:hAnsi="宋体" w:cs="宋体" w:hint="eastAsia"/>
          <w:color w:val="000000" w:themeColor="text1"/>
        </w:rPr>
        <w:t>总结报告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519EE42C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（四）其他</w:t>
      </w:r>
      <w:r w:rsidRPr="00E5265C">
        <w:rPr>
          <w:rFonts w:asciiTheme="minorEastAsia" w:hAnsiTheme="minorEastAsia"/>
          <w:color w:val="000000" w:themeColor="text1"/>
          <w:szCs w:val="21"/>
        </w:rPr>
        <w:t>安全性信息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报告</w:t>
      </w:r>
    </w:p>
    <w:p w14:paraId="57A44692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□1、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研发期间安全性更新报告（DSUR）</w:t>
      </w:r>
    </w:p>
    <w:p w14:paraId="54344008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E5265C">
        <w:rPr>
          <w:rFonts w:ascii="宋体" w:eastAsia="宋体" w:hAnsi="宋体" w:cs="宋体" w:hint="eastAsia"/>
          <w:color w:val="000000" w:themeColor="text1"/>
          <w:szCs w:val="21"/>
        </w:rPr>
        <w:t>□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2、其他</w:t>
      </w:r>
      <w:r w:rsidRPr="00E5265C">
        <w:rPr>
          <w:rFonts w:asciiTheme="minorEastAsia" w:hAnsiTheme="minorEastAsia"/>
          <w:color w:val="000000" w:themeColor="text1"/>
          <w:szCs w:val="21"/>
        </w:rPr>
        <w:t>安全性信息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报告</w:t>
      </w:r>
    </w:p>
    <w:p w14:paraId="73894972" w14:textId="77777777" w:rsidR="00294067" w:rsidRPr="00E5265C" w:rsidRDefault="00294067" w:rsidP="00294067">
      <w:pPr>
        <w:spacing w:line="40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二、报告评估</w:t>
      </w:r>
    </w:p>
    <w:p w14:paraId="74D392BF" w14:textId="77777777" w:rsidR="00294067" w:rsidRPr="00E5265C" w:rsidRDefault="00294067" w:rsidP="00294067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（一）本</w:t>
      </w:r>
      <w:r w:rsidRPr="00E5265C">
        <w:rPr>
          <w:rFonts w:asciiTheme="minorEastAsia" w:hAnsiTheme="minorEastAsia"/>
          <w:b/>
          <w:color w:val="000000" w:themeColor="text1"/>
          <w:szCs w:val="21"/>
        </w:rPr>
        <w:t>中心发生的</w:t>
      </w: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SAE报告评估</w:t>
      </w:r>
      <w:r w:rsidRPr="00E5265C">
        <w:rPr>
          <w:rFonts w:hint="eastAsia"/>
          <w:bCs/>
          <w:color w:val="000000" w:themeColor="text1"/>
          <w:szCs w:val="21"/>
        </w:rPr>
        <w:t>（</w:t>
      </w:r>
      <w:r w:rsidRPr="00E5265C">
        <w:rPr>
          <w:bCs/>
          <w:color w:val="000000" w:themeColor="text1"/>
          <w:szCs w:val="21"/>
        </w:rPr>
        <w:t>不涉及请跳过本部分</w:t>
      </w:r>
      <w:r w:rsidRPr="00E5265C">
        <w:rPr>
          <w:rFonts w:hint="eastAsia"/>
          <w:bCs/>
          <w:color w:val="000000" w:themeColor="text1"/>
          <w:szCs w:val="21"/>
        </w:rPr>
        <w:t>）</w:t>
      </w:r>
    </w:p>
    <w:tbl>
      <w:tblPr>
        <w:tblStyle w:val="a7"/>
        <w:tblW w:w="10271" w:type="dxa"/>
        <w:jc w:val="center"/>
        <w:tblLook w:val="04A0" w:firstRow="1" w:lastRow="0" w:firstColumn="1" w:lastColumn="0" w:noHBand="0" w:noVBand="1"/>
      </w:tblPr>
      <w:tblGrid>
        <w:gridCol w:w="10271"/>
      </w:tblGrid>
      <w:tr w:rsidR="00294067" w:rsidRPr="00E5265C" w14:paraId="60E1856D" w14:textId="77777777" w:rsidTr="00EC278A">
        <w:trPr>
          <w:trHeight w:val="1183"/>
          <w:jc w:val="center"/>
        </w:trPr>
        <w:tc>
          <w:tcPr>
            <w:tcW w:w="10271" w:type="dxa"/>
          </w:tcPr>
          <w:p w14:paraId="73B19ECC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对本中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心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受试者和研究风险获益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影响的判断</w:t>
            </w:r>
          </w:p>
          <w:p w14:paraId="0025EA3B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、判断严重不良事件与研究干预相关性：□肯定有关，□可能有关</w:t>
            </w:r>
          </w:p>
          <w:p w14:paraId="49977F1F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、严重不良事件是否预期：□预期，□非预期</w:t>
            </w:r>
          </w:p>
          <w:p w14:paraId="53F4B01D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否影响研究预期风险：□是，□否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6D152751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否影响研究受益：□是，□否</w:t>
            </w:r>
          </w:p>
          <w:p w14:paraId="5F924602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5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、受损伤的受试者的医疗保护措施是否合理：□是，□否</w:t>
            </w:r>
          </w:p>
          <w:p w14:paraId="0994B709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6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、是否需要采取医疗保护措施保护本中心其他受试者：□是，□否</w:t>
            </w:r>
          </w:p>
          <w:p w14:paraId="293E94DC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7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、是否需要修改方案或知情同意书：□是，□否</w:t>
            </w:r>
          </w:p>
        </w:tc>
      </w:tr>
      <w:tr w:rsidR="00294067" w:rsidRPr="00E5265C" w14:paraId="5EA3D4ED" w14:textId="77777777" w:rsidTr="00EC278A">
        <w:trPr>
          <w:trHeight w:val="537"/>
          <w:jc w:val="center"/>
        </w:trPr>
        <w:tc>
          <w:tcPr>
            <w:tcW w:w="10271" w:type="dxa"/>
          </w:tcPr>
          <w:p w14:paraId="46C887B4" w14:textId="77777777" w:rsidR="00294067" w:rsidRPr="00E5265C" w:rsidRDefault="00294067" w:rsidP="00EC278A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研究者就此次报告内容对本中心受试者和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研究影响的评价：</w:t>
            </w:r>
          </w:p>
          <w:p w14:paraId="160AEDD1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3C523435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38A9A175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4E2C769E" w14:textId="77777777" w:rsidR="00294067" w:rsidRPr="00E5265C" w:rsidRDefault="00294067" w:rsidP="00294067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（二）本</w:t>
      </w:r>
      <w:r w:rsidRPr="00E5265C">
        <w:rPr>
          <w:rFonts w:asciiTheme="minorEastAsia" w:hAnsiTheme="minorEastAsia"/>
          <w:b/>
          <w:color w:val="000000" w:themeColor="text1"/>
          <w:szCs w:val="21"/>
        </w:rPr>
        <w:t>中心发生的</w:t>
      </w: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SUSAR报告评估</w:t>
      </w:r>
      <w:r w:rsidRPr="00E5265C">
        <w:rPr>
          <w:rFonts w:hint="eastAsia"/>
          <w:bCs/>
          <w:color w:val="000000" w:themeColor="text1"/>
          <w:szCs w:val="21"/>
        </w:rPr>
        <w:t>（</w:t>
      </w:r>
      <w:r w:rsidRPr="00E5265C">
        <w:rPr>
          <w:bCs/>
          <w:color w:val="000000" w:themeColor="text1"/>
          <w:szCs w:val="21"/>
        </w:rPr>
        <w:t>不涉及请跳过本部分</w:t>
      </w:r>
      <w:r w:rsidRPr="00E5265C">
        <w:rPr>
          <w:rFonts w:hint="eastAsia"/>
          <w:bCs/>
          <w:color w:val="000000" w:themeColor="text1"/>
          <w:szCs w:val="21"/>
        </w:rPr>
        <w:t>）</w:t>
      </w:r>
    </w:p>
    <w:tbl>
      <w:tblPr>
        <w:tblStyle w:val="a7"/>
        <w:tblW w:w="10271" w:type="dxa"/>
        <w:jc w:val="center"/>
        <w:tblLook w:val="04A0" w:firstRow="1" w:lastRow="0" w:firstColumn="1" w:lastColumn="0" w:noHBand="0" w:noVBand="1"/>
      </w:tblPr>
      <w:tblGrid>
        <w:gridCol w:w="10271"/>
      </w:tblGrid>
      <w:tr w:rsidR="00294067" w:rsidRPr="00E5265C" w14:paraId="4AB3B4DF" w14:textId="77777777" w:rsidTr="00EC278A">
        <w:trPr>
          <w:trHeight w:val="1183"/>
          <w:jc w:val="center"/>
        </w:trPr>
        <w:tc>
          <w:tcPr>
            <w:tcW w:w="10271" w:type="dxa"/>
          </w:tcPr>
          <w:p w14:paraId="1ACF622B" w14:textId="77777777" w:rsidR="00294067" w:rsidRPr="00E5265C" w:rsidRDefault="00294067" w:rsidP="00EC278A">
            <w:pPr>
              <w:spacing w:line="400" w:lineRule="exact"/>
              <w:rPr>
                <w:color w:val="000000" w:themeColor="text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对本中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心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受试者和研究风险获益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影响的判断要素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（申办方和研究者依据判断要素分别作评价）</w:t>
            </w:r>
          </w:p>
          <w:p w14:paraId="20F5CC23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否影响研究预期风险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10A51D41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否影响研究受益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2960057B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、受损伤的受试者的医疗保护措施是否合理</w:t>
            </w:r>
          </w:p>
          <w:p w14:paraId="63BF025E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、是否需要采取医疗保护措施保护本中心其他受试者</w:t>
            </w:r>
          </w:p>
          <w:p w14:paraId="31CAC350" w14:textId="77777777" w:rsidR="00294067" w:rsidRPr="00E5265C" w:rsidRDefault="00294067" w:rsidP="00EC278A">
            <w:pPr>
              <w:spacing w:line="400" w:lineRule="exact"/>
              <w:rPr>
                <w:rFonts w:ascii="宋体" w:eastAsia="宋体" w:hAnsi="Times New Roman" w:cs="宋体"/>
                <w:color w:val="000000" w:themeColor="text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5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、是否需要修改方案或知情同意书</w:t>
            </w:r>
          </w:p>
        </w:tc>
      </w:tr>
      <w:tr w:rsidR="00294067" w:rsidRPr="00E5265C" w14:paraId="28D1366C" w14:textId="77777777" w:rsidTr="00EC278A">
        <w:trPr>
          <w:trHeight w:val="537"/>
          <w:jc w:val="center"/>
        </w:trPr>
        <w:tc>
          <w:tcPr>
            <w:tcW w:w="10271" w:type="dxa"/>
          </w:tcPr>
          <w:p w14:paraId="6B2E9C8F" w14:textId="77777777" w:rsidR="00294067" w:rsidRPr="00E5265C" w:rsidRDefault="00294067" w:rsidP="00EC278A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lastRenderedPageBreak/>
              <w:t>申办方就此次报告内容对本中心受试者和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研究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影响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的评价：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（根据对本中心受试者和研究风险获益影响的判断要素逐一评价）</w:t>
            </w:r>
          </w:p>
          <w:p w14:paraId="76391A13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7AA3C1F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94067" w:rsidRPr="00E5265C" w14:paraId="5FF7DBC9" w14:textId="77777777" w:rsidTr="00EC278A">
        <w:trPr>
          <w:trHeight w:val="537"/>
          <w:jc w:val="center"/>
        </w:trPr>
        <w:tc>
          <w:tcPr>
            <w:tcW w:w="10271" w:type="dxa"/>
          </w:tcPr>
          <w:p w14:paraId="7D2199CF" w14:textId="77777777" w:rsidR="00294067" w:rsidRPr="00E5265C" w:rsidRDefault="00294067" w:rsidP="00EC278A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研究者就此次报告内容对本中心受试者和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研究影响的评价：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（根据对本中心受试者和研究风险获益的影响判断要素逐一评价）</w:t>
            </w:r>
          </w:p>
          <w:p w14:paraId="0D168C78" w14:textId="77777777" w:rsidR="00294067" w:rsidRPr="00E5265C" w:rsidRDefault="00294067" w:rsidP="00EC278A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  <w:p w14:paraId="35178B38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344C2F3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42B7A35B" w14:textId="77777777" w:rsidR="00294067" w:rsidRPr="00E5265C" w:rsidRDefault="00294067" w:rsidP="00294067">
      <w:pPr>
        <w:spacing w:line="360" w:lineRule="auto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（三）非本中心发生的SUSAR报告和其他安全性信息报告评估</w:t>
      </w:r>
      <w:r w:rsidRPr="00E5265C">
        <w:rPr>
          <w:rFonts w:hint="eastAsia"/>
          <w:bCs/>
          <w:color w:val="000000" w:themeColor="text1"/>
          <w:szCs w:val="21"/>
        </w:rPr>
        <w:t>（</w:t>
      </w:r>
      <w:r w:rsidRPr="00E5265C">
        <w:rPr>
          <w:bCs/>
          <w:color w:val="000000" w:themeColor="text1"/>
          <w:szCs w:val="21"/>
        </w:rPr>
        <w:t>不涉及请跳过本部分</w:t>
      </w:r>
      <w:r w:rsidRPr="00E5265C">
        <w:rPr>
          <w:rFonts w:hint="eastAsia"/>
          <w:bCs/>
          <w:color w:val="000000" w:themeColor="text1"/>
          <w:szCs w:val="21"/>
        </w:rPr>
        <w:t>）</w:t>
      </w:r>
    </w:p>
    <w:tbl>
      <w:tblPr>
        <w:tblStyle w:val="a7"/>
        <w:tblW w:w="10271" w:type="dxa"/>
        <w:jc w:val="center"/>
        <w:tblLook w:val="04A0" w:firstRow="1" w:lastRow="0" w:firstColumn="1" w:lastColumn="0" w:noHBand="0" w:noVBand="1"/>
      </w:tblPr>
      <w:tblGrid>
        <w:gridCol w:w="10271"/>
      </w:tblGrid>
      <w:tr w:rsidR="00294067" w:rsidRPr="00E5265C" w14:paraId="1473EF76" w14:textId="77777777" w:rsidTr="00EC278A">
        <w:trPr>
          <w:trHeight w:val="1183"/>
          <w:jc w:val="center"/>
        </w:trPr>
        <w:tc>
          <w:tcPr>
            <w:tcW w:w="10271" w:type="dxa"/>
          </w:tcPr>
          <w:p w14:paraId="1A02C522" w14:textId="77777777" w:rsidR="00294067" w:rsidRPr="00E5265C" w:rsidRDefault="00294067" w:rsidP="00EC278A">
            <w:pPr>
              <w:spacing w:line="400" w:lineRule="exact"/>
              <w:rPr>
                <w:color w:val="000000" w:themeColor="text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对本中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心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受试者和研究风险获益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影响的判断要素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（申办方和研究者依据判断要素分别作评价）</w:t>
            </w:r>
          </w:p>
          <w:p w14:paraId="7751727B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否影响研究预期风险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0AA1BD51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否影响研究受益</w:t>
            </w:r>
            <w:r w:rsidRPr="00E5265C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79E87DCD" w14:textId="77777777" w:rsidR="00294067" w:rsidRPr="00E5265C" w:rsidRDefault="0029406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、是否需要采取医疗保护措施保护本中心受试者</w:t>
            </w:r>
          </w:p>
          <w:p w14:paraId="672F1635" w14:textId="77777777" w:rsidR="00294067" w:rsidRPr="00E5265C" w:rsidRDefault="00294067" w:rsidP="00EC278A">
            <w:pPr>
              <w:spacing w:line="400" w:lineRule="exact"/>
              <w:rPr>
                <w:rFonts w:ascii="宋体" w:eastAsia="宋体" w:hAnsi="Times New Roman" w:cs="宋体"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、是否需要修改方案或知情同意书</w:t>
            </w:r>
          </w:p>
        </w:tc>
      </w:tr>
      <w:tr w:rsidR="00294067" w:rsidRPr="00E5265C" w14:paraId="67109052" w14:textId="77777777" w:rsidTr="00EC278A">
        <w:trPr>
          <w:trHeight w:val="537"/>
          <w:jc w:val="center"/>
        </w:trPr>
        <w:tc>
          <w:tcPr>
            <w:tcW w:w="10271" w:type="dxa"/>
          </w:tcPr>
          <w:p w14:paraId="3EB62D2D" w14:textId="77777777" w:rsidR="00294067" w:rsidRPr="00E5265C" w:rsidRDefault="00294067" w:rsidP="00EC278A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申办方就此次报告内容对本中心受试者和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研究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影响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的评价：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（根据对本中心受试者和研究风险获益影响的判断要素逐一评价）</w:t>
            </w:r>
          </w:p>
          <w:p w14:paraId="6DEFF0BC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28F350E3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1972E038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94067" w:rsidRPr="00E5265C" w14:paraId="1EAC5D0A" w14:textId="77777777" w:rsidTr="00EC278A">
        <w:trPr>
          <w:trHeight w:val="537"/>
          <w:jc w:val="center"/>
        </w:trPr>
        <w:tc>
          <w:tcPr>
            <w:tcW w:w="10271" w:type="dxa"/>
          </w:tcPr>
          <w:p w14:paraId="017D7AAD" w14:textId="77777777" w:rsidR="00294067" w:rsidRPr="00E5265C" w:rsidRDefault="00294067" w:rsidP="00EC278A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研究者就此次报告内容对本中心受试者和</w:t>
            </w:r>
            <w:r w:rsidRPr="00E5265C"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  <w:t>研究影响的评价：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（根据对本中心受试者和研究风险获益影响的判断要素逐一评价）</w:t>
            </w:r>
          </w:p>
          <w:p w14:paraId="45D7ED01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7AC1503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FAEC444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557A17AE" w14:textId="77777777" w:rsidR="00294067" w:rsidRPr="00E5265C" w:rsidRDefault="00294067" w:rsidP="00294067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（四）安全性信息报告汇总表</w:t>
      </w:r>
    </w:p>
    <w:tbl>
      <w:tblPr>
        <w:tblStyle w:val="a7"/>
        <w:tblW w:w="11192" w:type="dxa"/>
        <w:jc w:val="center"/>
        <w:tblLook w:val="04A0" w:firstRow="1" w:lastRow="0" w:firstColumn="1" w:lastColumn="0" w:noHBand="0" w:noVBand="1"/>
      </w:tblPr>
      <w:tblGrid>
        <w:gridCol w:w="731"/>
        <w:gridCol w:w="851"/>
        <w:gridCol w:w="1276"/>
        <w:gridCol w:w="1701"/>
        <w:gridCol w:w="2126"/>
        <w:gridCol w:w="1073"/>
        <w:gridCol w:w="1299"/>
        <w:gridCol w:w="1111"/>
        <w:gridCol w:w="1024"/>
      </w:tblGrid>
      <w:tr w:rsidR="00294067" w:rsidRPr="00E5265C" w14:paraId="53D77C49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47EB604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2BD862A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发生</w:t>
            </w:r>
          </w:p>
          <w:p w14:paraId="274C52C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国家</w:t>
            </w:r>
          </w:p>
        </w:tc>
        <w:tc>
          <w:tcPr>
            <w:tcW w:w="1276" w:type="dxa"/>
            <w:vAlign w:val="center"/>
          </w:tcPr>
          <w:p w14:paraId="360FFD5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/>
                <w:b/>
                <w:color w:val="000000" w:themeColor="text1"/>
                <w:szCs w:val="21"/>
              </w:rPr>
              <w:t>中心</w:t>
            </w:r>
          </w:p>
          <w:p w14:paraId="1E77188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/>
                <w:b/>
                <w:color w:val="000000" w:themeColor="text1"/>
                <w:szCs w:val="21"/>
              </w:rPr>
              <w:t>编号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/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是否本中心</w:t>
            </w:r>
          </w:p>
        </w:tc>
        <w:tc>
          <w:tcPr>
            <w:tcW w:w="1701" w:type="dxa"/>
            <w:vAlign w:val="center"/>
          </w:tcPr>
          <w:p w14:paraId="59F39FD2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安全性事件的医学术语（诊断）</w:t>
            </w:r>
          </w:p>
        </w:tc>
        <w:tc>
          <w:tcPr>
            <w:tcW w:w="2126" w:type="dxa"/>
          </w:tcPr>
          <w:p w14:paraId="7247136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报告类型</w:t>
            </w:r>
          </w:p>
          <w:p w14:paraId="2BC047A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（首次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/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随访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/</w:t>
            </w: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总结）</w:t>
            </w:r>
          </w:p>
        </w:tc>
        <w:tc>
          <w:tcPr>
            <w:tcW w:w="1073" w:type="dxa"/>
            <w:vAlign w:val="center"/>
          </w:tcPr>
          <w:p w14:paraId="0A88FD61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发生日期</w:t>
            </w:r>
          </w:p>
        </w:tc>
        <w:tc>
          <w:tcPr>
            <w:tcW w:w="1299" w:type="dxa"/>
            <w:vAlign w:val="center"/>
          </w:tcPr>
          <w:p w14:paraId="446D187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受试者编号</w:t>
            </w:r>
          </w:p>
        </w:tc>
        <w:tc>
          <w:tcPr>
            <w:tcW w:w="1111" w:type="dxa"/>
            <w:vAlign w:val="center"/>
          </w:tcPr>
          <w:p w14:paraId="284FE60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事件转归</w:t>
            </w:r>
          </w:p>
        </w:tc>
        <w:tc>
          <w:tcPr>
            <w:tcW w:w="1024" w:type="dxa"/>
            <w:vAlign w:val="center"/>
          </w:tcPr>
          <w:p w14:paraId="1C390DEA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相关性</w:t>
            </w:r>
          </w:p>
        </w:tc>
      </w:tr>
      <w:tr w:rsidR="00294067" w:rsidRPr="00E5265C" w14:paraId="01D936CE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0CC7D1C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C800F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A8BC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312F0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7BE6024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1F306E2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35BEDE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18C1D28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EB5DC81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47DD1800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05182C92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72853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CF42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DF1F5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1BC20EC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EBD5DF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1CA30E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04C40BD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7006970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5C8A9FE3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07EE88DA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04C64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826C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357478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49C1EBF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F85974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3095C01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091B6AB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7BD95B2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13F2003C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4D24B4A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329DA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680E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1C266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26FB6EB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6D3BFD2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472A47E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4D1D615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7B2D4D0E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6FB177AE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45FFB1D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579B1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4B9F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BEE3A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3730CDA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64EFBF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7F24898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37BC90E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80FC2D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413B6740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0649516A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C5051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0CB9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6F85A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3F67F03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176B0C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16819A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1AE172E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6EBC19E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1B30CECB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1EF4C71D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87543D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7848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64C74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613DAF28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6756C7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1D00B3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154C31D4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27203F8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0368AF7D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3A7A0B8D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719F6D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F6F0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F3EA3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426D0511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B6822C8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50B490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CFE0488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6800D7EE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45CDD1BF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622102B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71D1B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72BE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AC0F4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43D26F1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AFC4820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B67E91D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1C66D02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2F4D5BF7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94067" w:rsidRPr="00E5265C" w14:paraId="55164473" w14:textId="77777777" w:rsidTr="00EC278A">
        <w:trPr>
          <w:trHeight w:val="505"/>
          <w:jc w:val="center"/>
        </w:trPr>
        <w:tc>
          <w:tcPr>
            <w:tcW w:w="731" w:type="dxa"/>
            <w:vAlign w:val="center"/>
          </w:tcPr>
          <w:p w14:paraId="03F45D03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A100A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A2C1DC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F401CB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54F59FA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DFB0B3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2E9D0E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F0060C5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7C8D5582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14:paraId="524CE317" w14:textId="77777777" w:rsidR="00294067" w:rsidRPr="00E5265C" w:rsidRDefault="00294067" w:rsidP="00294067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7"/>
        <w:tblpPr w:leftFromText="180" w:rightFromText="180" w:vertAnchor="text" w:horzAnchor="margin" w:tblpXSpec="center" w:tblpY="261"/>
        <w:tblW w:w="10235" w:type="dxa"/>
        <w:tblLook w:val="04A0" w:firstRow="1" w:lastRow="0" w:firstColumn="1" w:lastColumn="0" w:noHBand="0" w:noVBand="1"/>
      </w:tblPr>
      <w:tblGrid>
        <w:gridCol w:w="1872"/>
        <w:gridCol w:w="3488"/>
        <w:gridCol w:w="1473"/>
        <w:gridCol w:w="3402"/>
      </w:tblGrid>
      <w:tr w:rsidR="00294067" w:rsidRPr="00E5265C" w14:paraId="37C84D31" w14:textId="77777777" w:rsidTr="00EC278A">
        <w:tc>
          <w:tcPr>
            <w:tcW w:w="1872" w:type="dxa"/>
            <w:vAlign w:val="center"/>
          </w:tcPr>
          <w:p w14:paraId="6AB0D81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主要研究者签字</w:t>
            </w:r>
          </w:p>
        </w:tc>
        <w:tc>
          <w:tcPr>
            <w:tcW w:w="3488" w:type="dxa"/>
            <w:vAlign w:val="center"/>
          </w:tcPr>
          <w:p w14:paraId="1D5F22C2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5C520A0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56818426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3402" w:type="dxa"/>
            <w:vAlign w:val="center"/>
          </w:tcPr>
          <w:p w14:paraId="41B78078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94067" w:rsidRPr="00E5265C" w14:paraId="39852CBB" w14:textId="77777777" w:rsidTr="00EC278A">
        <w:trPr>
          <w:trHeight w:val="611"/>
        </w:trPr>
        <w:tc>
          <w:tcPr>
            <w:tcW w:w="1872" w:type="dxa"/>
            <w:vMerge w:val="restart"/>
            <w:vAlign w:val="center"/>
          </w:tcPr>
          <w:p w14:paraId="1A462339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伦理委员会形式</w:t>
            </w:r>
          </w:p>
          <w:p w14:paraId="0FC2140E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审查</w:t>
            </w:r>
          </w:p>
        </w:tc>
        <w:tc>
          <w:tcPr>
            <w:tcW w:w="8363" w:type="dxa"/>
            <w:gridSpan w:val="3"/>
            <w:vAlign w:val="center"/>
          </w:tcPr>
          <w:p w14:paraId="23882877" w14:textId="77777777" w:rsidR="00294067" w:rsidRPr="00E5265C" w:rsidRDefault="00294067" w:rsidP="00EC278A">
            <w:pPr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送审资料不齐全，补充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/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修改送审资料后递交。具体如下：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受理人签字：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                  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  <w:tr w:rsidR="00294067" w:rsidRPr="00E5265C" w14:paraId="7D8022F7" w14:textId="77777777" w:rsidTr="00EC278A">
        <w:trPr>
          <w:trHeight w:val="574"/>
        </w:trPr>
        <w:tc>
          <w:tcPr>
            <w:tcW w:w="1872" w:type="dxa"/>
            <w:vMerge/>
            <w:vAlign w:val="center"/>
          </w:tcPr>
          <w:p w14:paraId="4511D10F" w14:textId="77777777" w:rsidR="00294067" w:rsidRPr="00E5265C" w:rsidRDefault="00294067" w:rsidP="00EC278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578DFF18" w14:textId="77777777" w:rsidR="00294067" w:rsidRPr="00E5265C" w:rsidRDefault="00294067" w:rsidP="00EC278A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送审资料齐全，同意受理，受理号为：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受理人签字：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                  </w:t>
            </w:r>
            <w:r w:rsidRPr="00E5265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</w:tbl>
    <w:p w14:paraId="37CA6979" w14:textId="77777777" w:rsidR="00294067" w:rsidRPr="00E5265C" w:rsidRDefault="00294067" w:rsidP="00294067">
      <w:pPr>
        <w:spacing w:line="400" w:lineRule="exact"/>
        <w:rPr>
          <w:color w:val="000000" w:themeColor="text1"/>
        </w:rPr>
      </w:pPr>
    </w:p>
    <w:p w14:paraId="6B3D17A7" w14:textId="31987E8D" w:rsidR="00294067" w:rsidRPr="00E5265C" w:rsidRDefault="00294067" w:rsidP="00294067">
      <w:pPr>
        <w:spacing w:line="40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294067">
        <w:rPr>
          <w:rFonts w:asciiTheme="minorEastAsia" w:hAnsiTheme="minorEastAsia" w:hint="eastAsia"/>
          <w:b/>
          <w:color w:val="FF0000"/>
          <w:sz w:val="18"/>
          <w:szCs w:val="18"/>
        </w:rPr>
        <w:t>备注</w:t>
      </w:r>
      <w:r w:rsidRPr="00193E90">
        <w:rPr>
          <w:rFonts w:asciiTheme="minorEastAsia" w:hAnsiTheme="minorEastAsia" w:hint="eastAsia"/>
          <w:b/>
          <w:color w:val="FF0000"/>
          <w:sz w:val="18"/>
          <w:szCs w:val="18"/>
        </w:rPr>
        <w:t>（递交时应删除</w:t>
      </w:r>
      <w:r>
        <w:rPr>
          <w:rFonts w:asciiTheme="minorEastAsia" w:hAnsiTheme="minorEastAsia" w:hint="eastAsia"/>
          <w:b/>
          <w:color w:val="FF0000"/>
          <w:sz w:val="18"/>
          <w:szCs w:val="18"/>
        </w:rPr>
        <w:t>以下</w:t>
      </w:r>
      <w:r w:rsidRPr="00193E90">
        <w:rPr>
          <w:rFonts w:asciiTheme="minorEastAsia" w:hAnsiTheme="minorEastAsia" w:hint="eastAsia"/>
          <w:b/>
          <w:color w:val="FF0000"/>
          <w:sz w:val="18"/>
          <w:szCs w:val="18"/>
        </w:rPr>
        <w:t>所有备注内容）</w:t>
      </w:r>
      <w:r w:rsidRPr="00E5265C">
        <w:rPr>
          <w:rFonts w:asciiTheme="minorEastAsia" w:hAnsiTheme="minorEastAsia" w:hint="eastAsia"/>
          <w:b/>
          <w:color w:val="000000" w:themeColor="text1"/>
          <w:szCs w:val="21"/>
        </w:rPr>
        <w:t>：</w:t>
      </w:r>
    </w:p>
    <w:p w14:paraId="21C15390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1、与研究相关的本中心SAE在研究者获知24小时内报告伦理委员会。</w:t>
      </w:r>
    </w:p>
    <w:p w14:paraId="10AF7263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2、本中心</w:t>
      </w:r>
      <w:r w:rsidRPr="00294067">
        <w:rPr>
          <w:rFonts w:asciiTheme="minorEastAsia" w:hAnsiTheme="minorEastAsia"/>
          <w:color w:val="000000" w:themeColor="text1"/>
          <w:sz w:val="18"/>
          <w:szCs w:val="18"/>
        </w:rPr>
        <w:t>致死或危及生命的</w:t>
      </w: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SUSAR应在申办者首次获知7天内报告伦理委员会，</w:t>
      </w:r>
      <w:r w:rsidRPr="00294067">
        <w:rPr>
          <w:rFonts w:asciiTheme="minorEastAsia" w:hAnsiTheme="minorEastAsia"/>
          <w:color w:val="000000" w:themeColor="text1"/>
          <w:sz w:val="18"/>
          <w:szCs w:val="18"/>
        </w:rPr>
        <w:t>并在随后的8天内报告、完善随访信息</w:t>
      </w: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；</w:t>
      </w:r>
      <w:r w:rsidRPr="00294067">
        <w:rPr>
          <w:rFonts w:asciiTheme="minorEastAsia" w:hAnsiTheme="minorEastAsia"/>
          <w:color w:val="000000" w:themeColor="text1"/>
          <w:sz w:val="18"/>
          <w:szCs w:val="18"/>
        </w:rPr>
        <w:t>对于非致死或危及生命的</w:t>
      </w: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SUSAR</w:t>
      </w:r>
      <w:r w:rsidRPr="00294067">
        <w:rPr>
          <w:rFonts w:asciiTheme="minorEastAsia" w:hAnsiTheme="minorEastAsia"/>
          <w:color w:val="000000" w:themeColor="text1"/>
          <w:sz w:val="18"/>
          <w:szCs w:val="18"/>
        </w:rPr>
        <w:t>，应在申办者首次获知后15天内尽快向伦理委员会报告。</w:t>
      </w:r>
    </w:p>
    <w:p w14:paraId="35C406D9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3、每2个月向伦理委员会汇总报告SUSAR相关资料，其中可能显著影响研究进行或增加受</w:t>
      </w:r>
      <w:r w:rsidRPr="00E5265C">
        <w:rPr>
          <w:rFonts w:asciiTheme="minorEastAsia" w:hAnsiTheme="minorEastAsia" w:hint="eastAsia"/>
          <w:color w:val="000000" w:themeColor="text1"/>
          <w:szCs w:val="21"/>
        </w:rPr>
        <w:t>试者风险的安</w:t>
      </w: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全性信息报告（包括非本中心SUSAR）应在申办者获知7天内报告伦理委员会。</w:t>
      </w:r>
    </w:p>
    <w:p w14:paraId="3C47863A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4、DSUR每年定期向伦理委员会汇总报告。</w:t>
      </w:r>
    </w:p>
    <w:p w14:paraId="1EF53F48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5、SUSAR报告表以申办方的模板递交。</w:t>
      </w:r>
    </w:p>
    <w:p w14:paraId="41896953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6、SAE和SUSAR报告都应填写安全性信息报告汇总表，一次报告超过10例安全性事件需参照安全性信息</w:t>
      </w: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lastRenderedPageBreak/>
        <w:t>报告汇总表的格式以附件形式递交，同一例SAE或SUSAR的多次报告应按报告</w:t>
      </w:r>
    </w:p>
    <w:p w14:paraId="4F9A6985" w14:textId="77777777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生成时间的先后连着顺序写。</w:t>
      </w:r>
    </w:p>
    <w:p w14:paraId="71CF0162" w14:textId="09B8757B" w:rsidR="00294067" w:rsidRPr="00294067" w:rsidRDefault="00294067" w:rsidP="00294067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294067">
        <w:rPr>
          <w:rFonts w:asciiTheme="minorEastAsia" w:hAnsiTheme="minorEastAsia" w:hint="eastAsia"/>
          <w:color w:val="000000" w:themeColor="text1"/>
          <w:sz w:val="18"/>
          <w:szCs w:val="18"/>
        </w:rPr>
        <w:t>7、递交纸质文件至伦理委员会的同时，发送电子版至伦理委员会邮箱。</w:t>
      </w:r>
    </w:p>
    <w:p w14:paraId="15C1C52E" w14:textId="77777777" w:rsidR="00294067" w:rsidRDefault="00294067" w:rsidP="00E745DF">
      <w:pPr>
        <w:spacing w:line="400" w:lineRule="exact"/>
        <w:rPr>
          <w:rFonts w:asciiTheme="minorEastAsia" w:hAnsiTheme="minorEastAsia"/>
          <w:b/>
          <w:color w:val="FF0000"/>
          <w:sz w:val="18"/>
          <w:szCs w:val="18"/>
        </w:rPr>
      </w:pPr>
    </w:p>
    <w:p w14:paraId="78A7647C" w14:textId="77777777" w:rsidR="00294067" w:rsidRDefault="00294067" w:rsidP="00E745DF">
      <w:pPr>
        <w:spacing w:line="400" w:lineRule="exact"/>
        <w:rPr>
          <w:rFonts w:asciiTheme="minorEastAsia" w:hAnsiTheme="minorEastAsia"/>
          <w:b/>
          <w:color w:val="FF0000"/>
          <w:sz w:val="18"/>
          <w:szCs w:val="18"/>
        </w:rPr>
      </w:pPr>
    </w:p>
    <w:p w14:paraId="07402701" w14:textId="79DCF9B9" w:rsidR="00E745DF" w:rsidRPr="00E745DF" w:rsidRDefault="00E745DF" w:rsidP="00E745DF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E745DF" w:rsidRPr="00E745DF" w:rsidSect="001F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88096" w14:textId="77777777" w:rsidR="00BD3FC5" w:rsidRDefault="00BD3FC5" w:rsidP="00A53EED">
      <w:r>
        <w:separator/>
      </w:r>
    </w:p>
  </w:endnote>
  <w:endnote w:type="continuationSeparator" w:id="0">
    <w:p w14:paraId="27120EC3" w14:textId="77777777" w:rsidR="00BD3FC5" w:rsidRDefault="00BD3FC5" w:rsidP="00A5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3F3B9" w14:textId="77777777" w:rsidR="00BD3FC5" w:rsidRDefault="00BD3FC5" w:rsidP="00A53EED">
      <w:r>
        <w:separator/>
      </w:r>
    </w:p>
  </w:footnote>
  <w:footnote w:type="continuationSeparator" w:id="0">
    <w:p w14:paraId="6D37A14D" w14:textId="77777777" w:rsidR="00BD3FC5" w:rsidRDefault="00BD3FC5" w:rsidP="00A5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EED"/>
    <w:rsid w:val="00081ECF"/>
    <w:rsid w:val="00193E90"/>
    <w:rsid w:val="001F7877"/>
    <w:rsid w:val="00294067"/>
    <w:rsid w:val="003C37B7"/>
    <w:rsid w:val="009B7114"/>
    <w:rsid w:val="00A53EED"/>
    <w:rsid w:val="00BD3FC5"/>
    <w:rsid w:val="00E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5B38"/>
  <w15:docId w15:val="{5B451917-5786-4621-9816-83BA289C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E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EED"/>
    <w:rPr>
      <w:sz w:val="18"/>
      <w:szCs w:val="18"/>
    </w:rPr>
  </w:style>
  <w:style w:type="table" w:styleId="a7">
    <w:name w:val="Table Grid"/>
    <w:basedOn w:val="a1"/>
    <w:uiPriority w:val="59"/>
    <w:rsid w:val="00A53EED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268</Words>
  <Characters>1528</Characters>
  <Application>Microsoft Office Word</Application>
  <DocSecurity>0</DocSecurity>
  <Lines>12</Lines>
  <Paragraphs>3</Paragraphs>
  <ScaleCrop>false</ScaleCrop>
  <Company>P R 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2020-07-07T09:27:00Z</dcterms:created>
  <dcterms:modified xsi:type="dcterms:W3CDTF">2020-10-20T09:18:00Z</dcterms:modified>
</cp:coreProperties>
</file>